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thinThickSmallGap" w:sz="24" w:space="0" w:color="auto"/>
          <w:bottom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8"/>
      </w:tblGrid>
      <w:tr w:rsidR="006A6D68" w:rsidRPr="00717C47" w14:paraId="3D8CC8E0" w14:textId="77777777" w:rsidTr="007F3E4D">
        <w:tc>
          <w:tcPr>
            <w:tcW w:w="11338" w:type="dxa"/>
            <w:tcMar>
              <w:left w:w="0" w:type="dxa"/>
              <w:right w:w="0" w:type="dxa"/>
            </w:tcMar>
          </w:tcPr>
          <w:p w14:paraId="30B74679" w14:textId="17CBF3C7" w:rsidR="006A6D68" w:rsidRDefault="006A6D68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2F3916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項目</w:t>
            </w:r>
            <w:r w:rsidRPr="002F3916">
              <w:rPr>
                <w:rFonts w:ascii="Arial" w:eastAsia="標楷體" w:hAnsi="標楷體" w:cs="Arial"/>
                <w:b/>
                <w:sz w:val="28"/>
                <w:szCs w:val="28"/>
              </w:rPr>
              <w:t>：</w:t>
            </w:r>
            <w:r w:rsidR="005E2E11" w:rsidRPr="005E2E1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保險業揭露氣候相關資訊</w:t>
            </w:r>
            <w:r w:rsidR="005E2E11" w:rsidRPr="005E2E1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-</w:t>
            </w:r>
            <w:r w:rsidR="005E2E11" w:rsidRPr="005E2E1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氣候相關資訊執行情形</w:t>
            </w:r>
            <w:bookmarkStart w:id="0" w:name="_GoBack"/>
            <w:bookmarkEnd w:id="0"/>
          </w:p>
          <w:p w14:paraId="02176BE6" w14:textId="40FD5F45" w:rsidR="002F5A0D" w:rsidRPr="002F3916" w:rsidRDefault="002F5A0D" w:rsidP="002F39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依據：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人身保險業辦理資訊公開管理辦法第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8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條第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1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項第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2</w:t>
            </w:r>
            <w:r w:rsidR="002E4B12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2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 xml:space="preserve"> </w:t>
            </w:r>
            <w:r w:rsidRP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款</w:t>
            </w:r>
          </w:p>
          <w:p w14:paraId="57930529" w14:textId="081012A1" w:rsidR="006A6D68" w:rsidRPr="002F3916" w:rsidRDefault="006A6D68" w:rsidP="00E1686E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維護日期：民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國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11</w:t>
            </w:r>
            <w:r w:rsidR="008970E5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3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年</w:t>
            </w:r>
            <w:r w:rsidR="002E4B12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4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月</w:t>
            </w:r>
            <w:r w:rsidR="002E4B12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23</w:t>
            </w:r>
            <w:r w:rsidRPr="000C28FA">
              <w:rPr>
                <w:rFonts w:ascii="Arial" w:eastAsia="標楷體" w:hAnsi="標楷體" w:cs="Arial"/>
                <w:b/>
                <w:sz w:val="28"/>
                <w:szCs w:val="28"/>
              </w:rPr>
              <w:t>日</w:t>
            </w:r>
          </w:p>
          <w:p w14:paraId="3E39CEFD" w14:textId="157F8637" w:rsidR="006A6D68" w:rsidRDefault="006A6D68" w:rsidP="00D91E16">
            <w:pPr>
              <w:spacing w:line="440" w:lineRule="exact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 w:rsidRPr="00FD56A3">
              <w:rPr>
                <w:rFonts w:ascii="Arial" w:eastAsia="標楷體" w:hAnsi="標楷體" w:cs="Arial"/>
                <w:b/>
                <w:sz w:val="28"/>
                <w:szCs w:val="28"/>
              </w:rPr>
              <w:t>維護單位：</w:t>
            </w:r>
            <w:r w:rsidR="002E4B12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綜合企劃</w:t>
            </w:r>
            <w:r w:rsidR="00E26BB0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部</w:t>
            </w:r>
          </w:p>
          <w:p w14:paraId="4AC68944" w14:textId="6983E873" w:rsidR="00B339EA" w:rsidRPr="00717C47" w:rsidRDefault="00B339EA" w:rsidP="002F5A0D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更新週期：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年度終了</w:t>
            </w:r>
            <w:r w:rsidR="002E4B12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六</w:t>
            </w:r>
            <w:r w:rsidR="002F5A0D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個月</w:t>
            </w:r>
          </w:p>
        </w:tc>
      </w:tr>
    </w:tbl>
    <w:tbl>
      <w:tblPr>
        <w:tblpPr w:leftFromText="180" w:rightFromText="180" w:vertAnchor="page" w:horzAnchor="margin" w:tblpY="4381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333"/>
        <w:gridCol w:w="7143"/>
      </w:tblGrid>
      <w:tr w:rsidR="008C75F9" w:rsidRPr="00F271AE" w14:paraId="3E32AA48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D8FB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DC788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項目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AF02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  <w:t>執行情形</w:t>
            </w:r>
          </w:p>
        </w:tc>
      </w:tr>
      <w:tr w:rsidR="008C75F9" w:rsidRPr="00F271AE" w14:paraId="1ADB85CE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5BBB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EB08" w14:textId="77777777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董事會與管理階層對於氣候相關風險與機會之監督及治理。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73A11" w14:textId="77777777" w:rsidR="008C75F9" w:rsidRPr="00F271AE" w:rsidRDefault="008C75F9" w:rsidP="008C75F9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F271AE">
              <w:rPr>
                <w:rFonts w:ascii="標楷體" w:eastAsia="標楷體" w:hAnsi="標楷體" w:cs="Arial"/>
                <w:szCs w:val="24"/>
              </w:rPr>
              <w:t>董事會對於氣候相關風險管理負有最終責任，負有核定及監督氣候風險胃納、風險管理架構及政策之職責。董事會轄下之風險管理委員會每季召開會議，由風險管理部門定期提報「自我風險及清償能力評估（ORSA）報告」與「風險管理業務執行工作報告」供委員會審議，並向董事會呈報。也透過總經理領導之「企業永續（CS）小組」於107年起</w:t>
            </w:r>
            <w:proofErr w:type="gramStart"/>
            <w:r w:rsidRPr="00F271AE">
              <w:rPr>
                <w:rFonts w:ascii="標楷體" w:eastAsia="標楷體" w:hAnsi="標楷體" w:cs="Arial"/>
                <w:szCs w:val="24"/>
              </w:rPr>
              <w:t>訂定短中</w:t>
            </w:r>
            <w:proofErr w:type="gramEnd"/>
            <w:r w:rsidRPr="00F271AE">
              <w:rPr>
                <w:rFonts w:ascii="標楷體" w:eastAsia="標楷體" w:hAnsi="標楷體" w:cs="Arial"/>
                <w:szCs w:val="24"/>
              </w:rPr>
              <w:t>長期目標執行方案，除每季召開例會掌握各小組工作進度，每半年亦將執行成果提報董事會。為因應氣候變遷帶來的低碳轉型風險與機會，國泰人壽透過責任投資小組與綠色營運小組，分別從投資及自身營運面向著力，盤點投資與營運碳足跡，並</w:t>
            </w:r>
            <w:proofErr w:type="gramStart"/>
            <w:r w:rsidRPr="00F271AE">
              <w:rPr>
                <w:rFonts w:ascii="標楷體" w:eastAsia="標楷體" w:hAnsi="標楷體" w:cs="Arial"/>
                <w:szCs w:val="24"/>
              </w:rPr>
              <w:t>研</w:t>
            </w:r>
            <w:proofErr w:type="gramEnd"/>
            <w:r w:rsidRPr="00F271AE">
              <w:rPr>
                <w:rFonts w:ascii="標楷體" w:eastAsia="標楷體" w:hAnsi="標楷體" w:cs="Arial"/>
                <w:szCs w:val="24"/>
              </w:rPr>
              <w:t>擬相關因應作為。</w:t>
            </w:r>
          </w:p>
        </w:tc>
      </w:tr>
      <w:tr w:rsidR="008C75F9" w:rsidRPr="00F271AE" w14:paraId="00E891BC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EB54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D7E5" w14:textId="77777777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所辨識之氣候風險與機會如何影響企業之業務、策略及財務(短期、中期、長期)。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5910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國泰人壽透過與國泰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金控風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管處成立跨子公司之氣候與自然工作小組與企業永續（CS）小組成員協同相關單位，每年辨識不同業務在短中長期之氣候風險與機會，並透過質化問卷評估以及量化情境分析結果，排列氣候風險與機會之優先順序，並針對重大性較高的項目，盤點相關潛在影響。如：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在淨零轉型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的驅動下，加速發展綠色創新服務，並透過精進既有數位技術強化系統效能，穩健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朝向淨零營運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目標發展外，同時滿足顧客多樣化之服務需求，提升與國泰往來意願。相關辨識結果已揭露於永續報告書。</w:t>
            </w:r>
          </w:p>
        </w:tc>
      </w:tr>
      <w:tr w:rsidR="008C75F9" w:rsidRPr="00F271AE" w14:paraId="019EB8BC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8161" w14:textId="7777777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F6D43" w14:textId="77777777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極端氣候事件及轉型行動對財務之影響。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6E7E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考量氣候風險的不確定性，就公司營運面及核心業務所面臨的氣候風險，包括有價證券、人身保險商品、自有不動產，發展前瞻性情境分析，以衡量氣候變遷帶來的財務衝擊與健全公司策略之韌性，評估結果風險皆為可控，並每年持續追蹤監控，相關研究成果揭露於永續報告書。</w:t>
            </w:r>
          </w:p>
        </w:tc>
      </w:tr>
      <w:tr w:rsidR="008C75F9" w:rsidRPr="00F271AE" w14:paraId="1E0408B4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87368" w14:textId="774F9C5C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04B26" w14:textId="442E7194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氣候風險之辨識、評估及管理流程如何整合於整體風險管理制度。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FE013" w14:textId="44C813DB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szCs w:val="24"/>
              </w:rPr>
              <w:t>108年5月訂定「新興風險管理準則」，將氣候風險納入整體</w:t>
            </w:r>
            <w:r w:rsidRPr="00F271AE">
              <w:rPr>
                <w:rFonts w:ascii="標楷體" w:eastAsia="標楷體" w:hAnsi="標楷體" w:cs="Arial" w:hint="eastAsia"/>
                <w:szCs w:val="24"/>
              </w:rPr>
              <w:t>企業</w:t>
            </w:r>
            <w:r w:rsidRPr="00F271AE">
              <w:rPr>
                <w:rFonts w:ascii="標楷體" w:eastAsia="標楷體" w:hAnsi="標楷體" w:cs="Arial"/>
                <w:szCs w:val="24"/>
              </w:rPr>
              <w:t>風險管理。而為強化公司氣候風險韌性，進一步將氣候風險從新興風險中獨立，110年3月訂定「ESG 與氣候風險管理準則」，鑑別、評估和管理投融資對象之氣候相關實體及轉型風險，並將準則納入「風險管理政策」，將氣候風險嵌入既有企業風險管理架構</w:t>
            </w:r>
            <w:r w:rsidRPr="00F271AE">
              <w:rPr>
                <w:rFonts w:ascii="標楷體" w:eastAsia="標楷體" w:hAnsi="標楷體" w:cs="Arial"/>
                <w:szCs w:val="24"/>
              </w:rPr>
              <w:lastRenderedPageBreak/>
              <w:t>管理，相關資訊揭露於永續報告書。</w:t>
            </w:r>
          </w:p>
        </w:tc>
      </w:tr>
      <w:tr w:rsidR="008C75F9" w:rsidRPr="00F271AE" w14:paraId="6C5E53B5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73FDD" w14:textId="1683D2B6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5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9EB16" w14:textId="5A3760D0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若使用情境分析評估面對氣候變遷風險之韌性，應說明所使用之情境、參數、假設、 分析因子及主要財務影響。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C70C0" w14:textId="1989FD75" w:rsidR="008C75F9" w:rsidRPr="00F271AE" w:rsidRDefault="008C75F9" w:rsidP="008C75F9">
            <w:pPr>
              <w:rPr>
                <w:rFonts w:ascii="標楷體" w:eastAsia="標楷體" w:hAnsi="標楷體" w:cs="Arial"/>
                <w:szCs w:val="24"/>
              </w:rPr>
            </w:pPr>
            <w:r w:rsidRPr="00F271AE">
              <w:rPr>
                <w:rFonts w:ascii="標楷體" w:eastAsia="標楷體" w:hAnsi="標楷體" w:cs="Arial"/>
                <w:szCs w:val="24"/>
              </w:rPr>
              <w:t>接軌TCFD要求，選擇對應升溫2°C 或以下之轉型風險影響較嚴峻的氣候情境，發展3種不同溫度之情境分析，將NGFS發展之國際通用氣候情境納入氣候風險值</w:t>
            </w:r>
            <w:proofErr w:type="spellStart"/>
            <w:r w:rsidRPr="00F271AE">
              <w:rPr>
                <w:rFonts w:ascii="標楷體" w:eastAsia="標楷體" w:hAnsi="標楷體" w:cs="Arial"/>
                <w:szCs w:val="24"/>
              </w:rPr>
              <w:t>CVaR</w:t>
            </w:r>
            <w:proofErr w:type="spellEnd"/>
            <w:r w:rsidRPr="00F271AE">
              <w:rPr>
                <w:rFonts w:ascii="標楷體" w:eastAsia="標楷體" w:hAnsi="標楷體" w:cs="Arial"/>
                <w:szCs w:val="24"/>
              </w:rPr>
              <w:t>模型，評估股債投資標的</w:t>
            </w:r>
            <w:proofErr w:type="gramStart"/>
            <w:r w:rsidRPr="00F271AE">
              <w:rPr>
                <w:rFonts w:ascii="標楷體" w:eastAsia="標楷體" w:hAnsi="標楷體" w:cs="Arial"/>
                <w:szCs w:val="24"/>
              </w:rPr>
              <w:t>的</w:t>
            </w:r>
            <w:proofErr w:type="gramEnd"/>
            <w:r w:rsidRPr="00F271AE">
              <w:rPr>
                <w:rFonts w:ascii="標楷體" w:eastAsia="標楷體" w:hAnsi="標楷體" w:cs="Arial"/>
                <w:szCs w:val="24"/>
              </w:rPr>
              <w:t>價值影響，相關資訊揭露於永續報告書。</w:t>
            </w:r>
          </w:p>
        </w:tc>
      </w:tr>
      <w:tr w:rsidR="008C75F9" w:rsidRPr="00F271AE" w14:paraId="45D93109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424CC" w14:textId="5DCD2893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6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49108" w14:textId="229A7CA6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若有因應管理氣候相關風險之轉型計畫，說明該計畫內容，及用於辨識及管理實體 風險及轉型風險之指標與目標。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CBFB4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為因應國際RE100、SBT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科學減碳目標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等重要氣候倡議、外部評比機構的期待，以及臺灣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政府淨零排放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路徑的政策與法規跟進，國泰人壽針對營運及投資面提出「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零碳營運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轉型＋低碳投資配置」的雙軌轉型策略以及建立相關指標與目標，面對國際趨勢與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監理趨嚴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的轉型風險，並掌握市場發展機會：</w:t>
            </w:r>
          </w:p>
          <w:p w14:paraId="4D43163C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(1) 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零碳營運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轉型</w:t>
            </w:r>
          </w:p>
          <w:p w14:paraId="21B8DE54" w14:textId="77777777" w:rsidR="008C75F9" w:rsidRPr="00F271AE" w:rsidRDefault="008C75F9" w:rsidP="008C75F9">
            <w:pPr>
              <w:ind w:leftChars="213" w:left="51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A. 推動策略</w:t>
            </w:r>
          </w:p>
          <w:p w14:paraId="4C3610E2" w14:textId="77777777" w:rsidR="008C75F9" w:rsidRPr="00F271AE" w:rsidRDefault="008C75F9" w:rsidP="008C75F9">
            <w:pPr>
              <w:ind w:leftChars="390" w:left="936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(a) 綠色職場：</w:t>
            </w:r>
          </w:p>
          <w:p w14:paraId="51329C2C" w14:textId="77777777" w:rsidR="008C75F9" w:rsidRPr="00F271AE" w:rsidRDefault="008C75F9" w:rsidP="008C75F9">
            <w:pPr>
              <w:ind w:leftChars="567" w:left="136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進行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職場老舊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設備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汰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換，以提升營運據點之用電與能源效率。</w:t>
            </w:r>
          </w:p>
          <w:p w14:paraId="1D9E174F" w14:textId="77777777" w:rsidR="008C75F9" w:rsidRPr="00F271AE" w:rsidRDefault="008C75F9" w:rsidP="008C75F9">
            <w:pPr>
              <w:ind w:leftChars="390" w:left="936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(b) 綠色能源：</w:t>
            </w:r>
          </w:p>
          <w:p w14:paraId="54F0E493" w14:textId="77777777" w:rsidR="008C75F9" w:rsidRPr="00F271AE" w:rsidRDefault="008C75F9" w:rsidP="008C75F9">
            <w:pPr>
              <w:ind w:leftChars="567" w:left="136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透過再生能源轉供、再生能源憑證採購、自有自用大樓自發自用提升營運據點再生能源的使用量。</w:t>
            </w:r>
          </w:p>
          <w:p w14:paraId="387DC20E" w14:textId="77777777" w:rsidR="008C75F9" w:rsidRPr="00F271AE" w:rsidRDefault="008C75F9" w:rsidP="008C75F9">
            <w:pPr>
              <w:ind w:leftChars="390" w:left="936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(c) 綠色房東：</w:t>
            </w:r>
          </w:p>
          <w:p w14:paraId="4B8A6715" w14:textId="77777777" w:rsidR="008C75F9" w:rsidRPr="00F271AE" w:rsidRDefault="008C75F9" w:rsidP="008C75F9">
            <w:pPr>
              <w:ind w:leftChars="567" w:left="136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發揮房東影響力，推動「綠色租賃方案」，協助承租戶取得所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需綠電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，帶動產業共同邁向能源轉型。</w:t>
            </w:r>
          </w:p>
          <w:p w14:paraId="17A15BDC" w14:textId="77777777" w:rsidR="008C75F9" w:rsidRPr="00F271AE" w:rsidRDefault="008C75F9" w:rsidP="008C75F9">
            <w:pPr>
              <w:ind w:leftChars="213" w:left="51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B. 指標與目標：</w:t>
            </w:r>
          </w:p>
          <w:p w14:paraId="244DC87C" w14:textId="77777777" w:rsidR="008C75F9" w:rsidRPr="00F271AE" w:rsidRDefault="008C75F9" w:rsidP="008C75F9">
            <w:pPr>
              <w:ind w:leftChars="390" w:left="936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設立再生能源使用與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減碳量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等指標與目標，相關資訊揭露於永續報告書。</w:t>
            </w:r>
          </w:p>
          <w:p w14:paraId="5711146A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(2) 低碳投資配置</w:t>
            </w:r>
          </w:p>
          <w:p w14:paraId="4548F868" w14:textId="77777777" w:rsidR="008C75F9" w:rsidRPr="00F271AE" w:rsidRDefault="008C75F9" w:rsidP="008C75F9">
            <w:pPr>
              <w:ind w:leftChars="213" w:left="51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A. 推動策略</w:t>
            </w:r>
          </w:p>
          <w:p w14:paraId="1B6E75B7" w14:textId="77777777" w:rsidR="008C75F9" w:rsidRPr="00F271AE" w:rsidRDefault="008C75F9" w:rsidP="008C75F9">
            <w:pPr>
              <w:ind w:leftChars="331" w:left="794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(a) 配置轉型：</w:t>
            </w:r>
          </w:p>
          <w:p w14:paraId="77A6AF57" w14:textId="77777777" w:rsidR="008C75F9" w:rsidRPr="00F271AE" w:rsidRDefault="008C75F9" w:rsidP="008C75F9">
            <w:pPr>
              <w:ind w:leftChars="508" w:left="1219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透過擴大設定低碳投資目標支持綠色產業、配置低碳轉型企業、對未積極轉型之煤炭及非常規油氣業撤資承諾，以提升整體投資組合氣候韌性。</w:t>
            </w:r>
          </w:p>
          <w:p w14:paraId="50A18FD8" w14:textId="77777777" w:rsidR="008C75F9" w:rsidRPr="00F271AE" w:rsidRDefault="008C75F9" w:rsidP="008C75F9">
            <w:pPr>
              <w:ind w:leftChars="331" w:left="794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(b) 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氣候議合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</w:p>
          <w:p w14:paraId="61183965" w14:textId="77777777" w:rsidR="008C75F9" w:rsidRPr="00F271AE" w:rsidRDefault="008C75F9" w:rsidP="008C75F9">
            <w:pPr>
              <w:ind w:leftChars="508" w:left="1219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參與國際倡議組織，串連國際投資人共同發揮影響力。此外透過與被投資對象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進行議合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，促動其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揭露碳盤結果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、設定更具體的中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長期減碳目標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795EAF0E" w14:textId="77777777" w:rsidR="008C75F9" w:rsidRPr="00F271AE" w:rsidRDefault="008C75F9" w:rsidP="008C75F9">
            <w:pPr>
              <w:ind w:leftChars="331" w:left="794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(c) 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綠電事業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</w:p>
          <w:p w14:paraId="406EA459" w14:textId="77777777" w:rsidR="008C75F9" w:rsidRPr="00F271AE" w:rsidRDefault="008C75F9" w:rsidP="008C75F9">
            <w:pPr>
              <w:ind w:leftChars="508" w:left="1219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積極評估台灣離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岸風電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、太陽能光電等案場，並拓展其它各式再生能源投資機會，持續累積發電資產。</w:t>
            </w:r>
          </w:p>
          <w:p w14:paraId="6FA3B256" w14:textId="77777777" w:rsidR="008C75F9" w:rsidRPr="00F271AE" w:rsidRDefault="008C75F9" w:rsidP="008C75F9">
            <w:pPr>
              <w:ind w:leftChars="213" w:left="511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B. 指標與目標：</w:t>
            </w:r>
          </w:p>
          <w:p w14:paraId="560CD877" w14:textId="75FD7C6F" w:rsidR="008C75F9" w:rsidRPr="00F271AE" w:rsidRDefault="008C75F9" w:rsidP="00104BD3">
            <w:pPr>
              <w:ind w:leftChars="392" w:left="941"/>
              <w:rPr>
                <w:rFonts w:ascii="標楷體" w:eastAsia="標楷體" w:hAnsi="標楷體" w:cs="Arial"/>
                <w:szCs w:val="24"/>
              </w:rPr>
            </w:pPr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SBT溫度目標、低碳投資、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議合參與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等指標與目標，相關資訊揭露於永續報告書。</w:t>
            </w:r>
          </w:p>
        </w:tc>
      </w:tr>
      <w:tr w:rsidR="008C75F9" w:rsidRPr="00F271AE" w14:paraId="000F15CC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7359" w14:textId="29B7B1BC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lastRenderedPageBreak/>
              <w:t>7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EF61" w14:textId="072A4AE6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若使用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內部碳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定價作為規劃工具，應說明價格制定基礎。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0321A" w14:textId="7C88059C" w:rsidR="008C75F9" w:rsidRPr="00F271AE" w:rsidRDefault="008C75F9" w:rsidP="008C75F9">
            <w:pPr>
              <w:rPr>
                <w:rFonts w:ascii="標楷體" w:eastAsia="標楷體" w:hAnsi="標楷體" w:cs="Arial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112年已舉辦導入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內部碳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定價機制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之減碳活動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，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累計碳費基金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將用於綠建築認證及購買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碳權等零碳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專案。</w:t>
            </w:r>
          </w:p>
        </w:tc>
      </w:tr>
      <w:tr w:rsidR="008C75F9" w:rsidRPr="00F271AE" w14:paraId="38885425" w14:textId="77777777" w:rsidTr="008C75F9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3DA72" w14:textId="094C2A63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8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02F1E" w14:textId="4A02BD0E" w:rsidR="008C75F9" w:rsidRPr="00F271AE" w:rsidRDefault="008C75F9" w:rsidP="00104BD3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若有設定氣候相關目標，應說明所涵蓋之活動、溫室氣體排放範疇、規劃期程，每 年達成進度等資訊；若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使用碳抵換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或再生能源憑證(RECs)以達成相關目標，應說明所 抵換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之減碳額度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來源及數量或再生能源憑證(RECs)數量。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B988D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氣候相關目標、所涵蓋之活動、溫室氣體排放範疇、規劃期程，及每年達成進度：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91"/>
              <w:gridCol w:w="1515"/>
              <w:gridCol w:w="1515"/>
              <w:gridCol w:w="1516"/>
            </w:tblGrid>
            <w:tr w:rsidR="008C75F9" w:rsidRPr="00F271AE" w14:paraId="3CFA5534" w14:textId="77777777" w:rsidTr="00104BD3">
              <w:trPr>
                <w:trHeight w:val="1030"/>
              </w:trPr>
              <w:tc>
                <w:tcPr>
                  <w:tcW w:w="2191" w:type="dxa"/>
                  <w:vAlign w:val="center"/>
                </w:tcPr>
                <w:p w14:paraId="4BB84A97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目標</w:t>
                  </w:r>
                </w:p>
                <w:p w14:paraId="781255DF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(相較109年)</w:t>
                  </w:r>
                </w:p>
              </w:tc>
              <w:tc>
                <w:tcPr>
                  <w:tcW w:w="1515" w:type="dxa"/>
                  <w:vAlign w:val="center"/>
                </w:tcPr>
                <w:p w14:paraId="7275561A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114年</w:t>
                  </w:r>
                </w:p>
              </w:tc>
              <w:tc>
                <w:tcPr>
                  <w:tcW w:w="1515" w:type="dxa"/>
                  <w:vAlign w:val="center"/>
                </w:tcPr>
                <w:p w14:paraId="1A751AA9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119年</w:t>
                  </w:r>
                </w:p>
              </w:tc>
              <w:tc>
                <w:tcPr>
                  <w:tcW w:w="1516" w:type="dxa"/>
                  <w:vAlign w:val="center"/>
                </w:tcPr>
                <w:p w14:paraId="198C7893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139年</w:t>
                  </w:r>
                </w:p>
              </w:tc>
            </w:tr>
            <w:tr w:rsidR="008C75F9" w:rsidRPr="00F271AE" w14:paraId="46043502" w14:textId="77777777" w:rsidTr="00104BD3">
              <w:trPr>
                <w:trHeight w:val="680"/>
              </w:trPr>
              <w:tc>
                <w:tcPr>
                  <w:tcW w:w="2191" w:type="dxa"/>
                  <w:vAlign w:val="center"/>
                </w:tcPr>
                <w:p w14:paraId="6AA36F66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營運減碳</w:t>
                  </w:r>
                </w:p>
                <w:p w14:paraId="1AF58F26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(範疇1、2)</w:t>
                  </w:r>
                </w:p>
              </w:tc>
              <w:tc>
                <w:tcPr>
                  <w:tcW w:w="1515" w:type="dxa"/>
                  <w:vAlign w:val="center"/>
                </w:tcPr>
                <w:p w14:paraId="59815847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減碳</w:t>
                  </w:r>
                  <w:proofErr w:type="gramEnd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&gt;21%</w:t>
                  </w:r>
                </w:p>
              </w:tc>
              <w:tc>
                <w:tcPr>
                  <w:tcW w:w="1515" w:type="dxa"/>
                  <w:vAlign w:val="center"/>
                </w:tcPr>
                <w:p w14:paraId="522493D4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減碳</w:t>
                  </w:r>
                  <w:proofErr w:type="gramEnd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&gt;42%</w:t>
                  </w:r>
                </w:p>
              </w:tc>
              <w:tc>
                <w:tcPr>
                  <w:tcW w:w="1516" w:type="dxa"/>
                  <w:vAlign w:val="center"/>
                </w:tcPr>
                <w:p w14:paraId="60480567" w14:textId="77777777" w:rsidR="008C75F9" w:rsidRPr="00F271AE" w:rsidRDefault="008C75F9" w:rsidP="005E2E11">
                  <w:pPr>
                    <w:framePr w:hSpace="180" w:wrap="around" w:vAnchor="page" w:hAnchor="margin" w:y="4381"/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淨零碳</w:t>
                  </w:r>
                  <w:proofErr w:type="gramEnd"/>
                </w:p>
              </w:tc>
            </w:tr>
          </w:tbl>
          <w:p w14:paraId="2A72597B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106年完成全台首批再生能源憑證交易，截至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112年已外購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742張再生能源憑證(1張=1,000度電)。</w:t>
            </w:r>
          </w:p>
          <w:p w14:paraId="7FDF8FA8" w14:textId="77777777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提出「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零碳營運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轉型計畫」，規劃減少用電與並響應RE100、擬定再生能源使用目標，以降低碳排放。111年與經濟部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研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商簽定再生能源購電協議(CPPA)，以更有效促使大樓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採購綠電</w:t>
            </w:r>
            <w:proofErr w:type="gramEnd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。112年包含總公司大樓在內，</w:t>
            </w:r>
            <w:proofErr w:type="gramStart"/>
            <w:r w:rsidRPr="00F271AE">
              <w:rPr>
                <w:rFonts w:ascii="標楷體" w:eastAsia="標楷體" w:hAnsi="標楷體" w:cs="Arial" w:hint="eastAsia"/>
                <w:kern w:val="0"/>
                <w:szCs w:val="24"/>
              </w:rPr>
              <w:t>綠電轉供總使用量逾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650萬度，超越再生能源使用達10%(RE10)之年度目標。期待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扮演綠電使用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的倡議者角色，讓</w:t>
            </w:r>
            <w:proofErr w:type="gramStart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社會共好</w:t>
            </w:r>
            <w:proofErr w:type="gramEnd"/>
            <w:r w:rsidRPr="00F271AE">
              <w:rPr>
                <w:rFonts w:ascii="標楷體" w:eastAsia="標楷體" w:hAnsi="標楷體" w:cs="Arial"/>
                <w:kern w:val="0"/>
                <w:szCs w:val="24"/>
              </w:rPr>
              <w:t>。</w:t>
            </w:r>
          </w:p>
          <w:tbl>
            <w:tblPr>
              <w:tblStyle w:val="a9"/>
              <w:tblpPr w:leftFromText="180" w:rightFromText="180" w:vertAnchor="text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346"/>
              <w:gridCol w:w="1347"/>
              <w:gridCol w:w="1346"/>
              <w:gridCol w:w="1347"/>
            </w:tblGrid>
            <w:tr w:rsidR="008C75F9" w:rsidRPr="00F271AE" w14:paraId="1C98F5B5" w14:textId="77777777" w:rsidTr="008C75F9">
              <w:trPr>
                <w:trHeight w:val="1968"/>
              </w:trPr>
              <w:tc>
                <w:tcPr>
                  <w:tcW w:w="1413" w:type="dxa"/>
                  <w:vAlign w:val="center"/>
                </w:tcPr>
                <w:p w14:paraId="23F997CF" w14:textId="77777777" w:rsidR="008C75F9" w:rsidRPr="00F271AE" w:rsidRDefault="008C75F9" w:rsidP="008C75F9">
                  <w:pPr>
                    <w:spacing w:line="400" w:lineRule="exac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目標(當年使用量)</w:t>
                  </w:r>
                </w:p>
              </w:tc>
              <w:tc>
                <w:tcPr>
                  <w:tcW w:w="1346" w:type="dxa"/>
                  <w:vAlign w:val="center"/>
                </w:tcPr>
                <w:p w14:paraId="3941B47F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112年</w:t>
                  </w:r>
                </w:p>
              </w:tc>
              <w:tc>
                <w:tcPr>
                  <w:tcW w:w="1347" w:type="dxa"/>
                  <w:vAlign w:val="center"/>
                </w:tcPr>
                <w:p w14:paraId="28B62CE0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114年</w:t>
                  </w:r>
                </w:p>
              </w:tc>
              <w:tc>
                <w:tcPr>
                  <w:tcW w:w="1346" w:type="dxa"/>
                  <w:vAlign w:val="center"/>
                </w:tcPr>
                <w:p w14:paraId="6FE464D0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119年</w:t>
                  </w:r>
                </w:p>
              </w:tc>
              <w:tc>
                <w:tcPr>
                  <w:tcW w:w="1347" w:type="dxa"/>
                  <w:vAlign w:val="center"/>
                </w:tcPr>
                <w:p w14:paraId="27FC7ECB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139年</w:t>
                  </w:r>
                </w:p>
              </w:tc>
            </w:tr>
            <w:tr w:rsidR="008C75F9" w:rsidRPr="00F271AE" w14:paraId="52544121" w14:textId="77777777" w:rsidTr="008C75F9">
              <w:trPr>
                <w:trHeight w:val="851"/>
              </w:trPr>
              <w:tc>
                <w:tcPr>
                  <w:tcW w:w="1413" w:type="dxa"/>
                  <w:vAlign w:val="center"/>
                </w:tcPr>
                <w:p w14:paraId="3316F0EE" w14:textId="77777777" w:rsidR="008C75F9" w:rsidRPr="00F271AE" w:rsidRDefault="008C75F9" w:rsidP="008C75F9">
                  <w:pPr>
                    <w:spacing w:line="400" w:lineRule="exact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proofErr w:type="gramStart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綠電</w:t>
                  </w:r>
                  <w:proofErr w:type="gramEnd"/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(RE)</w:t>
                  </w:r>
                </w:p>
              </w:tc>
              <w:tc>
                <w:tcPr>
                  <w:tcW w:w="1346" w:type="dxa"/>
                  <w:vAlign w:val="center"/>
                </w:tcPr>
                <w:p w14:paraId="12259B94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國內</w:t>
                  </w:r>
                </w:p>
                <w:p w14:paraId="47CE2A52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據點</w:t>
                  </w:r>
                </w:p>
                <w:p w14:paraId="4B3A7669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10%</w:t>
                  </w:r>
                </w:p>
              </w:tc>
              <w:tc>
                <w:tcPr>
                  <w:tcW w:w="1347" w:type="dxa"/>
                  <w:vAlign w:val="center"/>
                </w:tcPr>
                <w:p w14:paraId="1CDD8632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國內</w:t>
                  </w:r>
                </w:p>
                <w:p w14:paraId="7971DCCA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據點50%</w:t>
                  </w: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br/>
                    <w:t>總公司100%</w:t>
                  </w:r>
                </w:p>
              </w:tc>
              <w:tc>
                <w:tcPr>
                  <w:tcW w:w="1346" w:type="dxa"/>
                  <w:vAlign w:val="center"/>
                </w:tcPr>
                <w:p w14:paraId="20302D2B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國內</w:t>
                  </w:r>
                </w:p>
                <w:p w14:paraId="734180CB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據點100%</w:t>
                  </w:r>
                </w:p>
              </w:tc>
              <w:tc>
                <w:tcPr>
                  <w:tcW w:w="1347" w:type="dxa"/>
                  <w:vAlign w:val="center"/>
                </w:tcPr>
                <w:p w14:paraId="32F6D219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全球</w:t>
                  </w:r>
                </w:p>
                <w:p w14:paraId="41E6E7B7" w14:textId="77777777" w:rsidR="008C75F9" w:rsidRPr="00F271AE" w:rsidRDefault="008C75F9" w:rsidP="008C75F9">
                  <w:pPr>
                    <w:spacing w:line="400" w:lineRule="exact"/>
                    <w:jc w:val="center"/>
                    <w:rPr>
                      <w:rFonts w:ascii="標楷體" w:eastAsia="標楷體" w:hAnsi="標楷體" w:cs="Arial"/>
                      <w:kern w:val="0"/>
                      <w:szCs w:val="24"/>
                    </w:rPr>
                  </w:pPr>
                  <w:r w:rsidRPr="00F271AE">
                    <w:rPr>
                      <w:rFonts w:ascii="標楷體" w:eastAsia="標楷體" w:hAnsi="標楷體" w:cs="Arial"/>
                      <w:kern w:val="0"/>
                      <w:szCs w:val="24"/>
                    </w:rPr>
                    <w:t>據點100%</w:t>
                  </w:r>
                </w:p>
              </w:tc>
            </w:tr>
          </w:tbl>
          <w:p w14:paraId="453C61FF" w14:textId="77777777" w:rsidR="008C75F9" w:rsidRPr="00F271AE" w:rsidRDefault="008C75F9" w:rsidP="008C75F9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C75F9" w:rsidRPr="00F271AE" w14:paraId="48F28524" w14:textId="77777777" w:rsidTr="008C5267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0E77B" w14:textId="0DD6ECC7" w:rsidR="008C75F9" w:rsidRPr="00F271AE" w:rsidRDefault="008C75F9" w:rsidP="008C75F9">
            <w:pPr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BC0509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9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D43EE" w14:textId="09464CA3" w:rsidR="008C75F9" w:rsidRPr="00F271AE" w:rsidRDefault="008C75F9" w:rsidP="008C75F9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 w:rsidRPr="00BC0509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溫室氣體盤查及確信情形(另填於4-28-2)。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3F108" w14:textId="68F6C17C" w:rsidR="008C75F9" w:rsidRPr="00F271AE" w:rsidRDefault="008C75F9" w:rsidP="008C75F9">
            <w:pPr>
              <w:rPr>
                <w:rFonts w:ascii="標楷體" w:eastAsia="標楷體" w:hAnsi="標楷體" w:cs="Arial"/>
                <w:szCs w:val="24"/>
              </w:rPr>
            </w:pPr>
            <w:r w:rsidRPr="00E16808">
              <w:rPr>
                <w:rFonts w:ascii="標楷體" w:eastAsia="標楷體" w:hAnsi="標楷體" w:cs="Arial"/>
                <w:szCs w:val="24"/>
              </w:rPr>
              <w:t>自105年起，每年執行溫室氣體盤查，並經外部查驗取得ISO 14064-1認證。</w:t>
            </w:r>
            <w:proofErr w:type="gramStart"/>
            <w:r w:rsidRPr="00E16808">
              <w:rPr>
                <w:rFonts w:ascii="標楷體" w:eastAsia="標楷體" w:hAnsi="標楷體" w:cs="Arial"/>
                <w:szCs w:val="24"/>
              </w:rPr>
              <w:t>11</w:t>
            </w:r>
            <w:r w:rsidRPr="00E16808">
              <w:rPr>
                <w:rFonts w:ascii="標楷體" w:eastAsia="標楷體" w:hAnsi="標楷體" w:cs="Arial" w:hint="eastAsia"/>
                <w:szCs w:val="24"/>
              </w:rPr>
              <w:t>2</w:t>
            </w:r>
            <w:proofErr w:type="gramEnd"/>
            <w:r w:rsidRPr="00E16808">
              <w:rPr>
                <w:rFonts w:ascii="標楷體" w:eastAsia="標楷體" w:hAnsi="標楷體" w:cs="Arial"/>
                <w:szCs w:val="24"/>
              </w:rPr>
              <w:t>年度溫室氣體盤查及確信情形</w:t>
            </w:r>
            <w:r w:rsidRPr="00E16808">
              <w:rPr>
                <w:rFonts w:ascii="標楷體" w:eastAsia="標楷體" w:hAnsi="標楷體" w:cs="Arial" w:hint="eastAsia"/>
                <w:szCs w:val="24"/>
              </w:rPr>
              <w:t>詳</w:t>
            </w:r>
            <w:r>
              <w:rPr>
                <w:rFonts w:ascii="標楷體" w:eastAsia="標楷體" w:hAnsi="標楷體" w:cs="Arial"/>
                <w:szCs w:val="24"/>
              </w:rPr>
              <w:t>如</w:t>
            </w:r>
            <w:r w:rsidRPr="00E16808">
              <w:rPr>
                <w:rFonts w:ascii="標楷體" w:eastAsia="標楷體" w:hAnsi="標楷體" w:cs="Arial"/>
                <w:szCs w:val="24"/>
              </w:rPr>
              <w:t>表</w:t>
            </w:r>
            <w:r w:rsidRPr="00BC0509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4-28-2</w:t>
            </w:r>
            <w:r w:rsidRPr="00E16808">
              <w:rPr>
                <w:rFonts w:ascii="標楷體" w:eastAsia="標楷體" w:hAnsi="標楷體" w:cs="Arial"/>
                <w:szCs w:val="24"/>
              </w:rPr>
              <w:t>。</w:t>
            </w:r>
          </w:p>
        </w:tc>
      </w:tr>
    </w:tbl>
    <w:p w14:paraId="06CBD88B" w14:textId="4B869580" w:rsidR="00D547E9" w:rsidRPr="008C75F9" w:rsidRDefault="00D547E9" w:rsidP="008C75F9">
      <w:pPr>
        <w:rPr>
          <w:rFonts w:ascii="Arial" w:eastAsia="標楷體" w:hAnsi="Arial" w:cs="Arial"/>
          <w:color w:val="000000"/>
          <w:spacing w:val="30"/>
          <w:sz w:val="2"/>
          <w:szCs w:val="2"/>
        </w:rPr>
      </w:pPr>
    </w:p>
    <w:sectPr w:rsidR="00D547E9" w:rsidRPr="008C75F9" w:rsidSect="00D075DD">
      <w:headerReference w:type="default" r:id="rId7"/>
      <w:footerReference w:type="default" r:id="rId8"/>
      <w:pgSz w:w="11906" w:h="16838"/>
      <w:pgMar w:top="567" w:right="284" w:bottom="567" w:left="284" w:header="227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4CB3" w14:textId="77777777" w:rsidR="008B603F" w:rsidRDefault="008B603F" w:rsidP="00DE2F9D">
      <w:r>
        <w:separator/>
      </w:r>
    </w:p>
  </w:endnote>
  <w:endnote w:type="continuationSeparator" w:id="0">
    <w:p w14:paraId="0FC2563C" w14:textId="77777777" w:rsidR="008B603F" w:rsidRDefault="008B603F" w:rsidP="00DE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969363"/>
      <w:docPartObj>
        <w:docPartGallery w:val="Page Numbers (Bottom of Page)"/>
        <w:docPartUnique/>
      </w:docPartObj>
    </w:sdtPr>
    <w:sdtEndPr/>
    <w:sdtContent>
      <w:p w14:paraId="7C8D244D" w14:textId="412AB79F" w:rsidR="00D075DD" w:rsidRDefault="00D075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E11" w:rsidRPr="005E2E11">
          <w:rPr>
            <w:noProof/>
            <w:lang w:val="zh-TW"/>
          </w:rPr>
          <w:t>3</w:t>
        </w:r>
        <w:r>
          <w:fldChar w:fldCharType="end"/>
        </w:r>
      </w:p>
    </w:sdtContent>
  </w:sdt>
  <w:p w14:paraId="15A06DAB" w14:textId="77777777" w:rsidR="00D075DD" w:rsidRDefault="00D075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452FF" w14:textId="77777777" w:rsidR="008B603F" w:rsidRDefault="008B603F" w:rsidP="00DE2F9D">
      <w:r>
        <w:separator/>
      </w:r>
    </w:p>
  </w:footnote>
  <w:footnote w:type="continuationSeparator" w:id="0">
    <w:p w14:paraId="5B96227E" w14:textId="77777777" w:rsidR="008B603F" w:rsidRDefault="008B603F" w:rsidP="00DE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70C2" w14:textId="77777777" w:rsidR="00DE2F9D" w:rsidRDefault="00B339EA" w:rsidP="00DE2F9D">
    <w:pPr>
      <w:pStyle w:val="a3"/>
    </w:pPr>
    <w:r>
      <w:rPr>
        <w:noProof/>
      </w:rPr>
      <w:drawing>
        <wp:inline distT="0" distB="0" distL="0" distR="0" wp14:anchorId="4966B2BF" wp14:editId="03E43177">
          <wp:extent cx="2009775" cy="609600"/>
          <wp:effectExtent l="0" t="0" r="0" b="0"/>
          <wp:docPr id="14" name="圖片 14" descr="國泰人壽cmyk版最終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國泰人壽cmyk版最終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BA623" w14:textId="77777777" w:rsidR="00A71DF9" w:rsidRDefault="00A71DF9" w:rsidP="00A71DF9">
    <w:pPr>
      <w:pStyle w:val="a3"/>
    </w:pPr>
    <w:r w:rsidRPr="00A71DF9">
      <w:rPr>
        <w:rFonts w:ascii="標楷體" w:eastAsia="標楷體" w:hAnsi="標楷體" w:hint="eastAsia"/>
        <w:b/>
        <w:sz w:val="32"/>
        <w:szCs w:val="32"/>
      </w:rPr>
      <w:t>國泰人壽保險股份有限公司資訊公開說明文件</w:t>
    </w:r>
    <w:r>
      <w:rPr>
        <w:rFonts w:ascii="標楷體" w:eastAsia="標楷體" w:hAnsi="標楷體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262"/>
    <w:multiLevelType w:val="hybridMultilevel"/>
    <w:tmpl w:val="12B40156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B2B02"/>
    <w:multiLevelType w:val="hybridMultilevel"/>
    <w:tmpl w:val="5D34FE1E"/>
    <w:lvl w:ilvl="0" w:tplc="6794FB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08EC01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9C13D8">
      <w:start w:val="1"/>
      <w:numFmt w:val="decimal"/>
      <w:lvlText w:val="%3."/>
      <w:lvlJc w:val="left"/>
      <w:pPr>
        <w:ind w:left="1440" w:hanging="480"/>
      </w:pPr>
      <w:rPr>
        <w:rFonts w:ascii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5D448B"/>
    <w:multiLevelType w:val="hybridMultilevel"/>
    <w:tmpl w:val="7AEC1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85419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C135A74"/>
    <w:multiLevelType w:val="hybridMultilevel"/>
    <w:tmpl w:val="A7FA9C7A"/>
    <w:lvl w:ilvl="0" w:tplc="84FADE8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847A5B"/>
    <w:multiLevelType w:val="hybridMultilevel"/>
    <w:tmpl w:val="BC907516"/>
    <w:lvl w:ilvl="0" w:tplc="6250F0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84FCB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AF901CA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D06214F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9" w15:restartNumberingAfterBreak="0">
    <w:nsid w:val="1D866648"/>
    <w:multiLevelType w:val="multilevel"/>
    <w:tmpl w:val="547E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94BB8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1" w15:restartNumberingAfterBreak="0">
    <w:nsid w:val="2ABD579B"/>
    <w:multiLevelType w:val="hybridMultilevel"/>
    <w:tmpl w:val="BFA0DB04"/>
    <w:lvl w:ilvl="0" w:tplc="A46408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2ECA2D93"/>
    <w:multiLevelType w:val="hybridMultilevel"/>
    <w:tmpl w:val="DC566EEE"/>
    <w:lvl w:ilvl="0" w:tplc="CFE86D76">
      <w:start w:val="1"/>
      <w:numFmt w:val="decimal"/>
      <w:lvlText w:val="(%1)"/>
      <w:lvlJc w:val="left"/>
      <w:pPr>
        <w:ind w:left="2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13" w15:restartNumberingAfterBreak="0">
    <w:nsid w:val="351D4964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4" w15:restartNumberingAfterBreak="0">
    <w:nsid w:val="39CA32AD"/>
    <w:multiLevelType w:val="hybridMultilevel"/>
    <w:tmpl w:val="7E96BE50"/>
    <w:lvl w:ilvl="0" w:tplc="61B2869C">
      <w:start w:val="1"/>
      <w:numFmt w:val="upperLetter"/>
      <w:lvlText w:val="%1."/>
      <w:lvlJc w:val="left"/>
      <w:pPr>
        <w:ind w:left="2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2" w:hanging="480"/>
      </w:pPr>
    </w:lvl>
    <w:lvl w:ilvl="2" w:tplc="0409001B" w:tentative="1">
      <w:start w:val="1"/>
      <w:numFmt w:val="lowerRoman"/>
      <w:lvlText w:val="%3."/>
      <w:lvlJc w:val="right"/>
      <w:pPr>
        <w:ind w:left="3852" w:hanging="480"/>
      </w:pPr>
    </w:lvl>
    <w:lvl w:ilvl="3" w:tplc="0409000F" w:tentative="1">
      <w:start w:val="1"/>
      <w:numFmt w:val="decimal"/>
      <w:lvlText w:val="%4."/>
      <w:lvlJc w:val="left"/>
      <w:pPr>
        <w:ind w:left="4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2" w:hanging="480"/>
      </w:pPr>
    </w:lvl>
    <w:lvl w:ilvl="5" w:tplc="0409001B" w:tentative="1">
      <w:start w:val="1"/>
      <w:numFmt w:val="lowerRoman"/>
      <w:lvlText w:val="%6."/>
      <w:lvlJc w:val="right"/>
      <w:pPr>
        <w:ind w:left="5292" w:hanging="480"/>
      </w:pPr>
    </w:lvl>
    <w:lvl w:ilvl="6" w:tplc="0409000F" w:tentative="1">
      <w:start w:val="1"/>
      <w:numFmt w:val="decimal"/>
      <w:lvlText w:val="%7."/>
      <w:lvlJc w:val="left"/>
      <w:pPr>
        <w:ind w:left="5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2" w:hanging="480"/>
      </w:pPr>
    </w:lvl>
    <w:lvl w:ilvl="8" w:tplc="0409001B" w:tentative="1">
      <w:start w:val="1"/>
      <w:numFmt w:val="lowerRoman"/>
      <w:lvlText w:val="%9."/>
      <w:lvlJc w:val="right"/>
      <w:pPr>
        <w:ind w:left="6732" w:hanging="480"/>
      </w:pPr>
    </w:lvl>
  </w:abstractNum>
  <w:abstractNum w:abstractNumId="15" w15:restartNumberingAfterBreak="0">
    <w:nsid w:val="3EC01C06"/>
    <w:multiLevelType w:val="multilevel"/>
    <w:tmpl w:val="873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4F607B"/>
    <w:multiLevelType w:val="multilevel"/>
    <w:tmpl w:val="10306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27465"/>
    <w:multiLevelType w:val="hybridMultilevel"/>
    <w:tmpl w:val="8278DCDE"/>
    <w:lvl w:ilvl="0" w:tplc="704CB1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61B0C80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9" w15:restartNumberingAfterBreak="0">
    <w:nsid w:val="57FD5722"/>
    <w:multiLevelType w:val="hybridMultilevel"/>
    <w:tmpl w:val="E758B796"/>
    <w:lvl w:ilvl="0" w:tplc="E91E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F1E3C14"/>
    <w:multiLevelType w:val="hybridMultilevel"/>
    <w:tmpl w:val="18803F16"/>
    <w:lvl w:ilvl="0" w:tplc="84FADE88">
      <w:start w:val="1"/>
      <w:numFmt w:val="taiwaneseCountingThousand"/>
      <w:lvlText w:val="(%1)"/>
      <w:lvlJc w:val="left"/>
      <w:pPr>
        <w:ind w:left="11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21" w15:restartNumberingAfterBreak="0">
    <w:nsid w:val="63CF4773"/>
    <w:multiLevelType w:val="hybridMultilevel"/>
    <w:tmpl w:val="1F1A816C"/>
    <w:lvl w:ilvl="0" w:tplc="1B7A7350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2" w15:restartNumberingAfterBreak="0">
    <w:nsid w:val="664E19D6"/>
    <w:multiLevelType w:val="hybridMultilevel"/>
    <w:tmpl w:val="B66A748A"/>
    <w:lvl w:ilvl="0" w:tplc="85D6F68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B21A8B"/>
    <w:multiLevelType w:val="multilevel"/>
    <w:tmpl w:val="178C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659DB"/>
    <w:multiLevelType w:val="multilevel"/>
    <w:tmpl w:val="BE5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009E7"/>
    <w:multiLevelType w:val="hybridMultilevel"/>
    <w:tmpl w:val="FE0A4A54"/>
    <w:lvl w:ilvl="0" w:tplc="59B625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CA35D68"/>
    <w:multiLevelType w:val="multilevel"/>
    <w:tmpl w:val="74EA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12252B"/>
    <w:multiLevelType w:val="hybridMultilevel"/>
    <w:tmpl w:val="2B3AA81E"/>
    <w:lvl w:ilvl="0" w:tplc="FDBEE4E8">
      <w:start w:val="1"/>
      <w:numFmt w:val="decimal"/>
      <w:lvlText w:val="(%1)"/>
      <w:lvlJc w:val="left"/>
      <w:pPr>
        <w:ind w:left="2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23"/>
  </w:num>
  <w:num w:numId="5">
    <w:abstractNumId w:val="24"/>
  </w:num>
  <w:num w:numId="6">
    <w:abstractNumId w:val="16"/>
  </w:num>
  <w:num w:numId="7">
    <w:abstractNumId w:val="15"/>
  </w:num>
  <w:num w:numId="8">
    <w:abstractNumId w:val="2"/>
  </w:num>
  <w:num w:numId="9">
    <w:abstractNumId w:val="22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25"/>
  </w:num>
  <w:num w:numId="15">
    <w:abstractNumId w:val="12"/>
  </w:num>
  <w:num w:numId="16">
    <w:abstractNumId w:val="10"/>
  </w:num>
  <w:num w:numId="17">
    <w:abstractNumId w:val="6"/>
  </w:num>
  <w:num w:numId="18">
    <w:abstractNumId w:val="17"/>
  </w:num>
  <w:num w:numId="19">
    <w:abstractNumId w:val="20"/>
  </w:num>
  <w:num w:numId="20">
    <w:abstractNumId w:val="21"/>
  </w:num>
  <w:num w:numId="21">
    <w:abstractNumId w:val="11"/>
  </w:num>
  <w:num w:numId="22">
    <w:abstractNumId w:val="18"/>
  </w:num>
  <w:num w:numId="23">
    <w:abstractNumId w:val="13"/>
  </w:num>
  <w:num w:numId="24">
    <w:abstractNumId w:val="8"/>
  </w:num>
  <w:num w:numId="25">
    <w:abstractNumId w:val="27"/>
  </w:num>
  <w:num w:numId="26">
    <w:abstractNumId w:val="3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9D"/>
    <w:rsid w:val="00002ADF"/>
    <w:rsid w:val="0001229D"/>
    <w:rsid w:val="00024A36"/>
    <w:rsid w:val="00043234"/>
    <w:rsid w:val="0005778C"/>
    <w:rsid w:val="00057C38"/>
    <w:rsid w:val="000748C8"/>
    <w:rsid w:val="0009079B"/>
    <w:rsid w:val="000B2F52"/>
    <w:rsid w:val="000C222A"/>
    <w:rsid w:val="000C28FA"/>
    <w:rsid w:val="000C69FB"/>
    <w:rsid w:val="000D63B5"/>
    <w:rsid w:val="000E2BE8"/>
    <w:rsid w:val="000F4836"/>
    <w:rsid w:val="00104BD3"/>
    <w:rsid w:val="00107FAC"/>
    <w:rsid w:val="0011532A"/>
    <w:rsid w:val="00127393"/>
    <w:rsid w:val="001365B0"/>
    <w:rsid w:val="00143EA5"/>
    <w:rsid w:val="00147D63"/>
    <w:rsid w:val="00157046"/>
    <w:rsid w:val="001956DE"/>
    <w:rsid w:val="001959EF"/>
    <w:rsid w:val="001C119C"/>
    <w:rsid w:val="001C6F44"/>
    <w:rsid w:val="001F6E2B"/>
    <w:rsid w:val="002124EC"/>
    <w:rsid w:val="00234876"/>
    <w:rsid w:val="002450AB"/>
    <w:rsid w:val="00264591"/>
    <w:rsid w:val="00283CE2"/>
    <w:rsid w:val="00297295"/>
    <w:rsid w:val="002A218F"/>
    <w:rsid w:val="002A2BFD"/>
    <w:rsid w:val="002E3258"/>
    <w:rsid w:val="002E4B12"/>
    <w:rsid w:val="002E7FE7"/>
    <w:rsid w:val="002F3916"/>
    <w:rsid w:val="002F4DA9"/>
    <w:rsid w:val="002F5A0D"/>
    <w:rsid w:val="00310F67"/>
    <w:rsid w:val="003466AC"/>
    <w:rsid w:val="003B37FC"/>
    <w:rsid w:val="003F7151"/>
    <w:rsid w:val="00417BC8"/>
    <w:rsid w:val="004226A1"/>
    <w:rsid w:val="0047331C"/>
    <w:rsid w:val="004919DE"/>
    <w:rsid w:val="0049723E"/>
    <w:rsid w:val="004A011D"/>
    <w:rsid w:val="004A061A"/>
    <w:rsid w:val="004F5A9C"/>
    <w:rsid w:val="00507114"/>
    <w:rsid w:val="00510296"/>
    <w:rsid w:val="00551DA8"/>
    <w:rsid w:val="00556732"/>
    <w:rsid w:val="005617EA"/>
    <w:rsid w:val="0056436D"/>
    <w:rsid w:val="00572A9B"/>
    <w:rsid w:val="005A1F9A"/>
    <w:rsid w:val="005A3D2C"/>
    <w:rsid w:val="005C3CE5"/>
    <w:rsid w:val="005D3A46"/>
    <w:rsid w:val="005E2E11"/>
    <w:rsid w:val="005F20EF"/>
    <w:rsid w:val="00633F5D"/>
    <w:rsid w:val="0064688C"/>
    <w:rsid w:val="00656B25"/>
    <w:rsid w:val="0065729B"/>
    <w:rsid w:val="00670D94"/>
    <w:rsid w:val="006A26BA"/>
    <w:rsid w:val="006A516B"/>
    <w:rsid w:val="006A6D68"/>
    <w:rsid w:val="006A7A5B"/>
    <w:rsid w:val="006B0C64"/>
    <w:rsid w:val="006F4B6B"/>
    <w:rsid w:val="00712775"/>
    <w:rsid w:val="00717C47"/>
    <w:rsid w:val="007264E8"/>
    <w:rsid w:val="00737BCB"/>
    <w:rsid w:val="00740BA2"/>
    <w:rsid w:val="007515FD"/>
    <w:rsid w:val="00777AF7"/>
    <w:rsid w:val="00781DAF"/>
    <w:rsid w:val="00786287"/>
    <w:rsid w:val="007A35CC"/>
    <w:rsid w:val="007B07FD"/>
    <w:rsid w:val="007B4333"/>
    <w:rsid w:val="007F3E4D"/>
    <w:rsid w:val="007F3EA9"/>
    <w:rsid w:val="00855E8B"/>
    <w:rsid w:val="00872BBF"/>
    <w:rsid w:val="00890569"/>
    <w:rsid w:val="008970E5"/>
    <w:rsid w:val="008B603F"/>
    <w:rsid w:val="008C75F9"/>
    <w:rsid w:val="008F01F9"/>
    <w:rsid w:val="008F1FF1"/>
    <w:rsid w:val="00913691"/>
    <w:rsid w:val="00915B20"/>
    <w:rsid w:val="00922816"/>
    <w:rsid w:val="009264F0"/>
    <w:rsid w:val="0093400C"/>
    <w:rsid w:val="009476FF"/>
    <w:rsid w:val="00973286"/>
    <w:rsid w:val="0097670C"/>
    <w:rsid w:val="00977E30"/>
    <w:rsid w:val="009A0724"/>
    <w:rsid w:val="009A40D0"/>
    <w:rsid w:val="009A7FEB"/>
    <w:rsid w:val="009E38F1"/>
    <w:rsid w:val="009E680B"/>
    <w:rsid w:val="009F2B7B"/>
    <w:rsid w:val="00A01533"/>
    <w:rsid w:val="00A019DD"/>
    <w:rsid w:val="00A2543D"/>
    <w:rsid w:val="00A42F5E"/>
    <w:rsid w:val="00A62392"/>
    <w:rsid w:val="00A645CB"/>
    <w:rsid w:val="00A71DF9"/>
    <w:rsid w:val="00A74F0F"/>
    <w:rsid w:val="00A87C37"/>
    <w:rsid w:val="00AA2D92"/>
    <w:rsid w:val="00AA3808"/>
    <w:rsid w:val="00B339EA"/>
    <w:rsid w:val="00B540D6"/>
    <w:rsid w:val="00B55C64"/>
    <w:rsid w:val="00B63B2E"/>
    <w:rsid w:val="00B732E4"/>
    <w:rsid w:val="00B75CF7"/>
    <w:rsid w:val="00BB4F7F"/>
    <w:rsid w:val="00BE457F"/>
    <w:rsid w:val="00BE5FD5"/>
    <w:rsid w:val="00BF3FD4"/>
    <w:rsid w:val="00C04AD0"/>
    <w:rsid w:val="00C122DA"/>
    <w:rsid w:val="00C31530"/>
    <w:rsid w:val="00C413EB"/>
    <w:rsid w:val="00C64C0F"/>
    <w:rsid w:val="00C84BA6"/>
    <w:rsid w:val="00CC1A3F"/>
    <w:rsid w:val="00CD5579"/>
    <w:rsid w:val="00D075DD"/>
    <w:rsid w:val="00D15DDE"/>
    <w:rsid w:val="00D20EBB"/>
    <w:rsid w:val="00D547E9"/>
    <w:rsid w:val="00D763F2"/>
    <w:rsid w:val="00D91E16"/>
    <w:rsid w:val="00DA5441"/>
    <w:rsid w:val="00DA5619"/>
    <w:rsid w:val="00DC1FF8"/>
    <w:rsid w:val="00DE2F9D"/>
    <w:rsid w:val="00DF1A6D"/>
    <w:rsid w:val="00E00792"/>
    <w:rsid w:val="00E06FB4"/>
    <w:rsid w:val="00E125DD"/>
    <w:rsid w:val="00E14717"/>
    <w:rsid w:val="00E1686E"/>
    <w:rsid w:val="00E21861"/>
    <w:rsid w:val="00E26BB0"/>
    <w:rsid w:val="00E406C2"/>
    <w:rsid w:val="00E54FC6"/>
    <w:rsid w:val="00E653F9"/>
    <w:rsid w:val="00E741D9"/>
    <w:rsid w:val="00E84432"/>
    <w:rsid w:val="00EB62A6"/>
    <w:rsid w:val="00F45189"/>
    <w:rsid w:val="00F82DB5"/>
    <w:rsid w:val="00FA5183"/>
    <w:rsid w:val="00FC7956"/>
    <w:rsid w:val="00FD3B6A"/>
    <w:rsid w:val="00FD42A6"/>
    <w:rsid w:val="00F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E9EA4"/>
  <w15:docId w15:val="{0CDB1318-DE6D-4405-8E3C-63BC3C1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B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B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DC1F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2F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2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2F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F9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E2F9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39"/>
    <w:rsid w:val="00DE2F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1532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Salutation"/>
    <w:basedOn w:val="a"/>
    <w:next w:val="a"/>
    <w:rsid w:val="0011532A"/>
    <w:rPr>
      <w:rFonts w:ascii="標楷體" w:eastAsia="標楷體" w:hAnsi="Times New Roman" w:cs="標楷體"/>
      <w:color w:val="000000"/>
      <w:kern w:val="0"/>
      <w:sz w:val="23"/>
      <w:szCs w:val="23"/>
    </w:rPr>
  </w:style>
  <w:style w:type="paragraph" w:styleId="ab">
    <w:name w:val="Closing"/>
    <w:basedOn w:val="a"/>
    <w:rsid w:val="0011532A"/>
    <w:pPr>
      <w:ind w:leftChars="1800" w:left="100"/>
    </w:pPr>
    <w:rPr>
      <w:rFonts w:ascii="標楷體" w:eastAsia="標楷體" w:hAnsi="Times New Roman" w:cs="標楷體"/>
      <w:color w:val="000000"/>
      <w:kern w:val="0"/>
      <w:sz w:val="23"/>
      <w:szCs w:val="23"/>
    </w:rPr>
  </w:style>
  <w:style w:type="character" w:customStyle="1" w:styleId="30">
    <w:name w:val="標題 3 字元"/>
    <w:basedOn w:val="a0"/>
    <w:link w:val="3"/>
    <w:uiPriority w:val="9"/>
    <w:rsid w:val="00DC1FF8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F391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aragraph-remark">
    <w:name w:val="paragraph-remark"/>
    <w:basedOn w:val="a"/>
    <w:rsid w:val="007B433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E26BB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E26BB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paragraph">
    <w:name w:val="paragraph"/>
    <w:basedOn w:val="a"/>
    <w:rsid w:val="00E26BB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List Paragraph"/>
    <w:basedOn w:val="a"/>
    <w:uiPriority w:val="34"/>
    <w:qFormat/>
    <w:rsid w:val="00E26BB0"/>
    <w:pPr>
      <w:ind w:leftChars="200" w:left="480"/>
    </w:pPr>
  </w:style>
  <w:style w:type="paragraph" w:customStyle="1" w:styleId="highlight">
    <w:name w:val="highlight"/>
    <w:basedOn w:val="a"/>
    <w:rsid w:val="001959E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167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260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964">
          <w:marLeft w:val="9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i0601205</dc:creator>
  <cp:lastModifiedBy>林子婷</cp:lastModifiedBy>
  <cp:revision>3</cp:revision>
  <cp:lastPrinted>2022-02-24T05:19:00Z</cp:lastPrinted>
  <dcterms:created xsi:type="dcterms:W3CDTF">2024-04-22T06:18:00Z</dcterms:created>
  <dcterms:modified xsi:type="dcterms:W3CDTF">2024-04-22T06:48:00Z</dcterms:modified>
</cp:coreProperties>
</file>